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27" w:rsidRPr="00C6672D" w:rsidRDefault="00397227" w:rsidP="00397227">
      <w:pPr>
        <w:jc w:val="center"/>
        <w:rPr>
          <w:b/>
          <w:color w:val="0070C0"/>
          <w:sz w:val="32"/>
          <w:szCs w:val="32"/>
          <w:u w:val="single"/>
        </w:rPr>
      </w:pPr>
      <w:r>
        <w:rPr>
          <w:b/>
          <w:color w:val="0070C0"/>
          <w:sz w:val="32"/>
          <w:szCs w:val="32"/>
          <w:u w:val="single"/>
        </w:rPr>
        <w:t>CATEDRÁTICO2</w:t>
      </w:r>
    </w:p>
    <w:p w:rsidR="00397227" w:rsidRDefault="00397227" w:rsidP="00397227"/>
    <w:tbl>
      <w:tblPr>
        <w:tblStyle w:val="Tablaconcuadrcula"/>
        <w:tblW w:w="0" w:type="auto"/>
        <w:tblLayout w:type="fixed"/>
        <w:tblLook w:val="04A0"/>
      </w:tblPr>
      <w:tblGrid>
        <w:gridCol w:w="1560"/>
        <w:gridCol w:w="5811"/>
        <w:gridCol w:w="1123"/>
      </w:tblGrid>
      <w:tr w:rsidR="00397227" w:rsidRPr="00F75F73" w:rsidTr="000D7FE7">
        <w:tc>
          <w:tcPr>
            <w:tcW w:w="7371" w:type="dxa"/>
            <w:gridSpan w:val="2"/>
            <w:tcBorders>
              <w:top w:val="nil"/>
              <w:left w:val="nil"/>
              <w:bottom w:val="single" w:sz="4" w:space="0" w:color="auto"/>
            </w:tcBorders>
          </w:tcPr>
          <w:p w:rsidR="00397227" w:rsidRPr="00F75F73" w:rsidRDefault="00397227" w:rsidP="000D7FE7">
            <w:pPr>
              <w:jc w:val="center"/>
              <w:rPr>
                <w:b/>
              </w:rPr>
            </w:pPr>
            <w:r w:rsidRPr="00F75F73">
              <w:rPr>
                <w:b/>
              </w:rPr>
              <w:t>TABLA DE CUALIFICACIÓN DOCENTE</w:t>
            </w:r>
          </w:p>
        </w:tc>
        <w:tc>
          <w:tcPr>
            <w:tcW w:w="1123" w:type="dxa"/>
          </w:tcPr>
          <w:p w:rsidR="00397227" w:rsidRPr="00F75F73" w:rsidRDefault="00397227" w:rsidP="000D7FE7">
            <w:r w:rsidRPr="00F75F73">
              <w:t>Nº ECTS</w:t>
            </w:r>
          </w:p>
        </w:tc>
      </w:tr>
      <w:tr w:rsidR="00397227" w:rsidRPr="00F75F73" w:rsidTr="000D7FE7">
        <w:tc>
          <w:tcPr>
            <w:tcW w:w="7371" w:type="dxa"/>
            <w:gridSpan w:val="2"/>
            <w:tcBorders>
              <w:top w:val="single" w:sz="4" w:space="0" w:color="auto"/>
            </w:tcBorders>
          </w:tcPr>
          <w:p w:rsidR="00397227" w:rsidRPr="00F75F73" w:rsidRDefault="00397227" w:rsidP="000D7FE7">
            <w:r w:rsidRPr="00F75F73">
              <w:rPr>
                <w:b/>
                <w:u w:val="single"/>
              </w:rPr>
              <w:t>MATERIA</w:t>
            </w:r>
            <w:r w:rsidRPr="00F75F73">
              <w:t xml:space="preserve">: </w:t>
            </w:r>
          </w:p>
          <w:p w:rsidR="00397227" w:rsidRPr="00397227" w:rsidRDefault="00397227" w:rsidP="000D7FE7">
            <w:r>
              <w:t>DERECHO INTERNACIONAL PÚBLICO, DERECHO DE LA UNIÓN EUROPEA</w:t>
            </w:r>
          </w:p>
        </w:tc>
        <w:tc>
          <w:tcPr>
            <w:tcW w:w="1123" w:type="dxa"/>
          </w:tcPr>
          <w:p w:rsidR="00397227" w:rsidRPr="00F75F73" w:rsidRDefault="00397227" w:rsidP="000D7FE7"/>
        </w:tc>
      </w:tr>
      <w:tr w:rsidR="00397227" w:rsidRPr="00F75F73" w:rsidTr="000D7FE7">
        <w:trPr>
          <w:trHeight w:val="469"/>
        </w:trPr>
        <w:tc>
          <w:tcPr>
            <w:tcW w:w="1560" w:type="dxa"/>
          </w:tcPr>
          <w:p w:rsidR="00397227" w:rsidRPr="00F75F73" w:rsidRDefault="00397227" w:rsidP="000D7FE7">
            <w:pPr>
              <w:rPr>
                <w:u w:val="single"/>
              </w:rPr>
            </w:pPr>
            <w:r w:rsidRPr="00F75F73">
              <w:rPr>
                <w:u w:val="single"/>
              </w:rPr>
              <w:t>Perfil del profesor</w:t>
            </w: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tc>
        <w:tc>
          <w:tcPr>
            <w:tcW w:w="6934" w:type="dxa"/>
            <w:gridSpan w:val="2"/>
          </w:tcPr>
          <w:p w:rsidR="00397227" w:rsidRPr="00F75F73" w:rsidRDefault="00397227" w:rsidP="000D7FE7">
            <w:r w:rsidRPr="00F75F73">
              <w:t>Experto en UNIÓN EUROPEA. APLICACIÓN JUDIICAL DEL DERECHO INTERNACIONAL Y EUROPEO</w:t>
            </w:r>
          </w:p>
          <w:p w:rsidR="00397227" w:rsidRPr="00F75F73" w:rsidRDefault="00397227" w:rsidP="000D7FE7">
            <w:r w:rsidRPr="00F75F73">
              <w:t>Experiencia investigadora Seis Sexenios consecutivos, sin años en blanco.</w:t>
            </w:r>
          </w:p>
          <w:p w:rsidR="00397227" w:rsidRPr="00F75F73" w:rsidRDefault="00397227" w:rsidP="000D7FE7">
            <w:r w:rsidRPr="00F75F73">
              <w:t>Experiencia docente 42 años, de los cuales 32 años de Catedrática de Derecho Internacional Público</w:t>
            </w:r>
          </w:p>
        </w:tc>
      </w:tr>
      <w:tr w:rsidR="00397227" w:rsidRPr="00F75F73" w:rsidTr="000D7FE7">
        <w:trPr>
          <w:trHeight w:val="871"/>
        </w:trPr>
        <w:tc>
          <w:tcPr>
            <w:tcW w:w="1560" w:type="dxa"/>
          </w:tcPr>
          <w:p w:rsidR="00397227" w:rsidRPr="00F75F73" w:rsidRDefault="00397227" w:rsidP="000D7FE7">
            <w:pPr>
              <w:rPr>
                <w:u w:val="single"/>
              </w:rPr>
            </w:pPr>
            <w:r w:rsidRPr="00F75F73">
              <w:rPr>
                <w:u w:val="single"/>
              </w:rPr>
              <w:t>Líneas de investigación</w:t>
            </w: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tc>
        <w:tc>
          <w:tcPr>
            <w:tcW w:w="6934" w:type="dxa"/>
            <w:gridSpan w:val="2"/>
          </w:tcPr>
          <w:p w:rsidR="00397227" w:rsidRPr="00F75F73" w:rsidRDefault="00397227" w:rsidP="000D7FE7">
            <w:pPr>
              <w:suppressAutoHyphens/>
              <w:jc w:val="both"/>
              <w:rPr>
                <w:spacing w:val="-3"/>
                <w:szCs w:val="24"/>
              </w:rPr>
            </w:pPr>
            <w:r w:rsidRPr="00F75F73">
              <w:t>1.</w:t>
            </w:r>
            <w:r w:rsidRPr="00F75F73">
              <w:rPr>
                <w:spacing w:val="-3"/>
                <w:szCs w:val="24"/>
              </w:rPr>
              <w:t xml:space="preserve"> Tratados internacionales y Derecho constitucional español </w:t>
            </w:r>
          </w:p>
          <w:p w:rsidR="00397227" w:rsidRPr="00F75F73" w:rsidRDefault="00397227" w:rsidP="000D7FE7">
            <w:r w:rsidRPr="00F75F73">
              <w:rPr>
                <w:spacing w:val="-3"/>
                <w:szCs w:val="24"/>
              </w:rPr>
              <w:t xml:space="preserve">Sistema institucional de la Unión europea. Sistema jurídico y aplicación judicial interna. </w:t>
            </w:r>
          </w:p>
          <w:p w:rsidR="00397227" w:rsidRPr="00F75F73" w:rsidRDefault="00397227" w:rsidP="000D7FE7">
            <w:r w:rsidRPr="00F75F73">
              <w:t>2.</w:t>
            </w:r>
            <w:r w:rsidRPr="00F75F73">
              <w:rPr>
                <w:spacing w:val="-3"/>
                <w:szCs w:val="24"/>
              </w:rPr>
              <w:t xml:space="preserve"> Derecho Internacional Humanitario y conflictos armados.</w:t>
            </w:r>
          </w:p>
          <w:p w:rsidR="00397227" w:rsidRPr="00F75F73" w:rsidRDefault="00397227" w:rsidP="000D7FE7">
            <w:pPr>
              <w:suppressAutoHyphens/>
              <w:jc w:val="both"/>
              <w:rPr>
                <w:spacing w:val="-3"/>
                <w:szCs w:val="24"/>
              </w:rPr>
            </w:pPr>
            <w:r w:rsidRPr="00F75F73">
              <w:t>3.</w:t>
            </w:r>
            <w:r w:rsidRPr="00F75F73">
              <w:rPr>
                <w:spacing w:val="-3"/>
                <w:szCs w:val="24"/>
              </w:rPr>
              <w:t xml:space="preserve">  Responsabilidad de proteger; universalización de los derechos humanos y democratización de Estados. </w:t>
            </w:r>
          </w:p>
          <w:p w:rsidR="00397227" w:rsidRPr="00F75F73" w:rsidRDefault="00397227" w:rsidP="000D7FE7"/>
          <w:p w:rsidR="00397227" w:rsidRPr="00F75F73" w:rsidRDefault="00397227" w:rsidP="000D7FE7">
            <w:pPr>
              <w:rPr>
                <w:spacing w:val="-3"/>
                <w:szCs w:val="24"/>
              </w:rPr>
            </w:pPr>
            <w:r w:rsidRPr="00F75F73">
              <w:t>4.</w:t>
            </w:r>
            <w:r w:rsidRPr="00F75F73">
              <w:rPr>
                <w:spacing w:val="-3"/>
                <w:szCs w:val="24"/>
              </w:rPr>
              <w:t xml:space="preserve"> Aplicación judicial del Derecho de la UE.</w:t>
            </w:r>
          </w:p>
          <w:p w:rsidR="00397227" w:rsidRPr="00F75F73" w:rsidRDefault="00397227" w:rsidP="000D7FE7">
            <w:r w:rsidRPr="00F75F73">
              <w:rPr>
                <w:spacing w:val="-3"/>
                <w:szCs w:val="24"/>
              </w:rPr>
              <w:t xml:space="preserve">5. Protección internacional y europea de los Derechos Humanos y su control. </w:t>
            </w:r>
          </w:p>
          <w:p w:rsidR="00397227" w:rsidRPr="00F75F73" w:rsidRDefault="00397227" w:rsidP="000D7FE7">
            <w:r w:rsidRPr="00F75F73">
              <w:t xml:space="preserve">6. </w:t>
            </w:r>
            <w:r w:rsidRPr="00F75F73">
              <w:rPr>
                <w:spacing w:val="-3"/>
                <w:szCs w:val="24"/>
              </w:rPr>
              <w:t xml:space="preserve">Ciudadanía europea. </w:t>
            </w:r>
          </w:p>
          <w:p w:rsidR="00397227" w:rsidRPr="00F75F73" w:rsidRDefault="00397227" w:rsidP="000D7FE7"/>
          <w:p w:rsidR="00397227" w:rsidRPr="00F75F73" w:rsidRDefault="00397227" w:rsidP="000D7FE7"/>
        </w:tc>
      </w:tr>
      <w:tr w:rsidR="00397227" w:rsidRPr="00F75F73" w:rsidTr="000D7FE7">
        <w:trPr>
          <w:trHeight w:val="2266"/>
        </w:trPr>
        <w:tc>
          <w:tcPr>
            <w:tcW w:w="1560" w:type="dxa"/>
          </w:tcPr>
          <w:p w:rsidR="00397227" w:rsidRPr="00F75F73" w:rsidRDefault="00397227" w:rsidP="000D7FE7">
            <w:pPr>
              <w:rPr>
                <w:u w:val="single"/>
              </w:rPr>
            </w:pPr>
            <w:r w:rsidRPr="00F75F73">
              <w:rPr>
                <w:u w:val="single"/>
              </w:rPr>
              <w:lastRenderedPageBreak/>
              <w:t>Proyectos</w:t>
            </w: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tc>
        <w:tc>
          <w:tcPr>
            <w:tcW w:w="6934" w:type="dxa"/>
            <w:gridSpan w:val="2"/>
          </w:tcPr>
          <w:p w:rsidR="00397227" w:rsidRPr="00F75F73" w:rsidRDefault="00397227" w:rsidP="000D7FE7">
            <w:r w:rsidRPr="00F75F73">
              <w:t>1.</w:t>
            </w:r>
          </w:p>
          <w:p w:rsidR="00397227" w:rsidRPr="00F75F73" w:rsidRDefault="00397227" w:rsidP="000D7FE7">
            <w:r w:rsidRPr="00F75F73">
              <w:t>2.</w:t>
            </w:r>
          </w:p>
          <w:p w:rsidR="00397227" w:rsidRPr="00F75F73" w:rsidRDefault="00397227" w:rsidP="000D7FE7">
            <w:r w:rsidRPr="00F75F73">
              <w:t>3.</w:t>
            </w:r>
          </w:p>
          <w:p w:rsidR="00397227" w:rsidRPr="00F75F73" w:rsidRDefault="00397227" w:rsidP="000D7FE7">
            <w:r w:rsidRPr="00F75F73">
              <w:t>4.</w:t>
            </w:r>
          </w:p>
          <w:p w:rsidR="00397227" w:rsidRPr="00F75F73" w:rsidRDefault="00397227" w:rsidP="000D7FE7">
            <w:r w:rsidRPr="00F75F73">
              <w:t>5.</w:t>
            </w:r>
          </w:p>
          <w:p w:rsidR="00397227" w:rsidRPr="00F75F73" w:rsidRDefault="00397227" w:rsidP="000D7FE7"/>
        </w:tc>
      </w:tr>
      <w:tr w:rsidR="00397227" w:rsidRPr="00F75F73" w:rsidTr="000D7FE7">
        <w:tc>
          <w:tcPr>
            <w:tcW w:w="1560" w:type="dxa"/>
          </w:tcPr>
          <w:p w:rsidR="00397227" w:rsidRPr="00F75F73" w:rsidRDefault="00397227" w:rsidP="000D7FE7">
            <w:pPr>
              <w:rPr>
                <w:u w:val="single"/>
              </w:rPr>
            </w:pPr>
            <w:r w:rsidRPr="00F75F73">
              <w:rPr>
                <w:u w:val="single"/>
              </w:rPr>
              <w:t>Publicaciones</w:t>
            </w: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tc>
        <w:tc>
          <w:tcPr>
            <w:tcW w:w="6934" w:type="dxa"/>
            <w:gridSpan w:val="2"/>
          </w:tcPr>
          <w:p w:rsidR="00397227" w:rsidRPr="00F75F73" w:rsidRDefault="00397227" w:rsidP="000D7FE7">
            <w:r w:rsidRPr="00F75F73">
              <w:t xml:space="preserve">VER web </w:t>
            </w:r>
            <w:hyperlink r:id="rId6" w:history="1">
              <w:r w:rsidRPr="00F75F73">
                <w:rPr>
                  <w:color w:val="0000FF" w:themeColor="hyperlink"/>
                  <w:u w:val="single"/>
                </w:rPr>
                <w:t>https://aracelimangasmartin.com/</w:t>
              </w:r>
            </w:hyperlink>
          </w:p>
          <w:p w:rsidR="00397227" w:rsidRPr="00F75F73" w:rsidRDefault="00397227" w:rsidP="000D7FE7"/>
          <w:p w:rsidR="00397227" w:rsidRPr="00F75F73" w:rsidRDefault="00397227" w:rsidP="000D7FE7">
            <w:r w:rsidRPr="00F75F73">
              <w:t xml:space="preserve">(Seis Sexenios). </w:t>
            </w:r>
          </w:p>
        </w:tc>
      </w:tr>
      <w:tr w:rsidR="00397227" w:rsidRPr="00F75F73" w:rsidTr="000D7FE7">
        <w:tc>
          <w:tcPr>
            <w:tcW w:w="1560" w:type="dxa"/>
          </w:tcPr>
          <w:p w:rsidR="00397227" w:rsidRPr="00F75F73" w:rsidRDefault="00397227" w:rsidP="000D7FE7">
            <w:pPr>
              <w:rPr>
                <w:u w:val="single"/>
              </w:rPr>
            </w:pPr>
            <w:r w:rsidRPr="00F75F73">
              <w:rPr>
                <w:u w:val="single"/>
              </w:rPr>
              <w:t>Experiencia Profesional</w:t>
            </w: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p w:rsidR="00397227" w:rsidRPr="00F75F73" w:rsidRDefault="00397227" w:rsidP="000D7FE7">
            <w:pPr>
              <w:rPr>
                <w:u w:val="single"/>
              </w:rPr>
            </w:pPr>
          </w:p>
        </w:tc>
        <w:tc>
          <w:tcPr>
            <w:tcW w:w="6934" w:type="dxa"/>
            <w:gridSpan w:val="2"/>
          </w:tcPr>
          <w:p w:rsidR="00397227" w:rsidRPr="00F75F73" w:rsidRDefault="00397227" w:rsidP="000D7FE7">
            <w:pPr>
              <w:autoSpaceDE w:val="0"/>
              <w:autoSpaceDN w:val="0"/>
              <w:adjustRightInd w:val="0"/>
              <w:rPr>
                <w:rFonts w:ascii="Times New Roman" w:hAnsi="Times New Roman" w:cs="Times New Roman"/>
                <w:color w:val="000000"/>
                <w:sz w:val="23"/>
                <w:szCs w:val="23"/>
              </w:rPr>
            </w:pPr>
            <w:r w:rsidRPr="00F75F73">
              <w:rPr>
                <w:rFonts w:ascii="Times New Roman" w:hAnsi="Times New Roman" w:cs="Times New Roman"/>
                <w:color w:val="000000"/>
                <w:sz w:val="23"/>
                <w:szCs w:val="23"/>
              </w:rPr>
              <w:t xml:space="preserve">Entre 2009 y 2010 fue Consejera (asesora legal) de España en el asunto sobre la compatibilidad de la declaración unilateral de independencia de Kosovo </w:t>
            </w:r>
            <w:r w:rsidRPr="00F75F73">
              <w:rPr>
                <w:rFonts w:ascii="Times New Roman" w:hAnsi="Times New Roman" w:cs="Times New Roman"/>
                <w:b/>
                <w:bCs/>
                <w:color w:val="000000"/>
                <w:sz w:val="23"/>
                <w:szCs w:val="23"/>
              </w:rPr>
              <w:t>ante la Corte Internacional de Justicia en La Haya</w:t>
            </w:r>
            <w:r w:rsidRPr="00F75F73">
              <w:rPr>
                <w:rFonts w:ascii="Times New Roman" w:hAnsi="Times New Roman" w:cs="Times New Roman"/>
                <w:color w:val="000000"/>
                <w:sz w:val="23"/>
                <w:szCs w:val="23"/>
              </w:rPr>
              <w:t xml:space="preserve">. </w:t>
            </w:r>
          </w:p>
          <w:p w:rsidR="00397227" w:rsidRPr="00F75F73" w:rsidRDefault="00397227" w:rsidP="000D7FE7">
            <w:pPr>
              <w:autoSpaceDE w:val="0"/>
              <w:autoSpaceDN w:val="0"/>
              <w:adjustRightInd w:val="0"/>
              <w:rPr>
                <w:rFonts w:ascii="Times New Roman" w:hAnsi="Times New Roman" w:cs="Times New Roman"/>
                <w:color w:val="000000"/>
                <w:sz w:val="23"/>
                <w:szCs w:val="23"/>
              </w:rPr>
            </w:pPr>
            <w:r w:rsidRPr="00F75F73">
              <w:rPr>
                <w:rFonts w:ascii="Times New Roman" w:hAnsi="Times New Roman" w:cs="Times New Roman"/>
                <w:color w:val="000000"/>
                <w:sz w:val="23"/>
                <w:szCs w:val="23"/>
              </w:rPr>
              <w:t xml:space="preserve">Fue nombrada por el Ministerio de Asuntos Exteriores y Cooperación </w:t>
            </w:r>
            <w:r w:rsidRPr="00F75F73">
              <w:rPr>
                <w:rFonts w:ascii="Times New Roman" w:hAnsi="Times New Roman" w:cs="Times New Roman"/>
                <w:b/>
                <w:bCs/>
                <w:color w:val="000000"/>
                <w:sz w:val="23"/>
                <w:szCs w:val="23"/>
              </w:rPr>
              <w:t xml:space="preserve">Vocal </w:t>
            </w:r>
            <w:r w:rsidRPr="00F75F73">
              <w:rPr>
                <w:rFonts w:ascii="Times New Roman" w:hAnsi="Times New Roman" w:cs="Times New Roman"/>
                <w:color w:val="000000"/>
                <w:sz w:val="23"/>
                <w:szCs w:val="23"/>
              </w:rPr>
              <w:t xml:space="preserve">de la Comisión Española de Derecho Internacional Humanitario (comisión interministerial de Subsecretarios, con solo tres expertos académicos), desde 1 de febrero de 2011 y prorrogado en 2015. </w:t>
            </w:r>
          </w:p>
          <w:p w:rsidR="00397227" w:rsidRPr="00F75F73" w:rsidRDefault="00397227" w:rsidP="000D7FE7">
            <w:pPr>
              <w:autoSpaceDE w:val="0"/>
              <w:autoSpaceDN w:val="0"/>
              <w:adjustRightInd w:val="0"/>
              <w:rPr>
                <w:rFonts w:ascii="Times New Roman" w:hAnsi="Times New Roman" w:cs="Times New Roman"/>
                <w:color w:val="000000"/>
                <w:sz w:val="23"/>
                <w:szCs w:val="23"/>
              </w:rPr>
            </w:pPr>
            <w:r w:rsidRPr="00F75F73">
              <w:rPr>
                <w:rFonts w:ascii="Times New Roman" w:hAnsi="Times New Roman" w:cs="Times New Roman"/>
                <w:color w:val="000000"/>
                <w:sz w:val="23"/>
                <w:szCs w:val="23"/>
              </w:rPr>
              <w:t xml:space="preserve">Ha redactado a petición de diversas Instituciones nacionales o extranjeras, organizaciones internacionales, o de empresas, bufetes o consultorías privadas, etc. numerosos </w:t>
            </w:r>
            <w:r w:rsidRPr="00F75F73">
              <w:rPr>
                <w:rFonts w:ascii="Times New Roman" w:hAnsi="Times New Roman" w:cs="Times New Roman"/>
                <w:b/>
                <w:bCs/>
                <w:color w:val="000000"/>
                <w:sz w:val="23"/>
                <w:szCs w:val="23"/>
              </w:rPr>
              <w:t xml:space="preserve">Dictámenes </w:t>
            </w:r>
            <w:r w:rsidRPr="00F75F73">
              <w:rPr>
                <w:rFonts w:ascii="Times New Roman" w:hAnsi="Times New Roman" w:cs="Times New Roman"/>
                <w:color w:val="000000"/>
                <w:sz w:val="23"/>
                <w:szCs w:val="23"/>
              </w:rPr>
              <w:t xml:space="preserve">o </w:t>
            </w:r>
            <w:r w:rsidRPr="00F75F73">
              <w:rPr>
                <w:rFonts w:ascii="Times New Roman" w:hAnsi="Times New Roman" w:cs="Times New Roman"/>
                <w:b/>
                <w:bCs/>
                <w:color w:val="000000"/>
                <w:sz w:val="23"/>
                <w:szCs w:val="23"/>
              </w:rPr>
              <w:t xml:space="preserve">Informes Técnicos </w:t>
            </w:r>
            <w:r w:rsidRPr="00F75F73">
              <w:rPr>
                <w:rFonts w:ascii="Times New Roman" w:hAnsi="Times New Roman" w:cs="Times New Roman"/>
                <w:color w:val="000000"/>
                <w:sz w:val="23"/>
                <w:szCs w:val="23"/>
              </w:rPr>
              <w:t>sobre problemas jurídico-internacionales sobre</w:t>
            </w:r>
          </w:p>
          <w:p w:rsidR="00397227" w:rsidRPr="00F75F73" w:rsidRDefault="00397227" w:rsidP="000D7FE7">
            <w:pPr>
              <w:autoSpaceDE w:val="0"/>
              <w:autoSpaceDN w:val="0"/>
              <w:adjustRightInd w:val="0"/>
              <w:rPr>
                <w:rFonts w:ascii="Times New Roman" w:hAnsi="Times New Roman" w:cs="Times New Roman"/>
                <w:sz w:val="24"/>
                <w:szCs w:val="24"/>
              </w:rPr>
            </w:pPr>
          </w:p>
          <w:p w:rsidR="00397227" w:rsidRPr="00F75F73" w:rsidRDefault="00397227" w:rsidP="000D7FE7">
            <w:pPr>
              <w:pageBreakBefore/>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w:t>
            </w:r>
            <w:r w:rsidRPr="00F75F73">
              <w:rPr>
                <w:rFonts w:ascii="Times New Roman" w:hAnsi="Times New Roman" w:cs="Times New Roman"/>
                <w:i/>
                <w:iCs/>
                <w:sz w:val="23"/>
                <w:szCs w:val="23"/>
              </w:rPr>
              <w:t xml:space="preserve">defensa y seguridad </w:t>
            </w:r>
            <w:r w:rsidRPr="00F75F73">
              <w:rPr>
                <w:rFonts w:ascii="Times New Roman" w:hAnsi="Times New Roman" w:cs="Times New Roman"/>
                <w:sz w:val="23"/>
                <w:szCs w:val="23"/>
              </w:rPr>
              <w:t xml:space="preserve">de España, sobre el ingreso de España en la OTAN (fue el primer dictamen solicitado previo a la adhesión); también informes sobre las condiciones de permanencia, sobre la adhesión y pertenencia a otras Organizaciones internacionales de defensa y sus </w:t>
            </w:r>
            <w:r w:rsidRPr="00F75F73">
              <w:rPr>
                <w:rFonts w:ascii="Times New Roman" w:hAnsi="Times New Roman" w:cs="Times New Roman"/>
                <w:sz w:val="23"/>
                <w:szCs w:val="23"/>
              </w:rPr>
              <w:lastRenderedPageBreak/>
              <w:t xml:space="preserve">implicaciones (UEO),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-la </w:t>
            </w:r>
            <w:r w:rsidRPr="00F75F73">
              <w:rPr>
                <w:rFonts w:ascii="Times New Roman" w:hAnsi="Times New Roman" w:cs="Times New Roman"/>
                <w:i/>
                <w:iCs/>
                <w:sz w:val="23"/>
                <w:szCs w:val="23"/>
              </w:rPr>
              <w:t xml:space="preserve">participación </w:t>
            </w:r>
            <w:r w:rsidRPr="00F75F73">
              <w:rPr>
                <w:rFonts w:ascii="Times New Roman" w:hAnsi="Times New Roman" w:cs="Times New Roman"/>
                <w:sz w:val="23"/>
                <w:szCs w:val="23"/>
              </w:rPr>
              <w:t xml:space="preserve">de las </w:t>
            </w:r>
            <w:r w:rsidRPr="00F75F73">
              <w:rPr>
                <w:rFonts w:ascii="Times New Roman" w:hAnsi="Times New Roman" w:cs="Times New Roman"/>
                <w:i/>
                <w:iCs/>
                <w:sz w:val="23"/>
                <w:szCs w:val="23"/>
              </w:rPr>
              <w:t xml:space="preserve">Comunidades Autónomas </w:t>
            </w:r>
            <w:r w:rsidRPr="00F75F73">
              <w:rPr>
                <w:rFonts w:ascii="Times New Roman" w:hAnsi="Times New Roman" w:cs="Times New Roman"/>
                <w:sz w:val="23"/>
                <w:szCs w:val="23"/>
              </w:rPr>
              <w:t xml:space="preserve">en la formación de los actos comunitarios y la aplicación del Derecho Comunitario,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-a </w:t>
            </w:r>
            <w:r w:rsidRPr="00F75F73">
              <w:rPr>
                <w:rFonts w:ascii="Times New Roman" w:hAnsi="Times New Roman" w:cs="Times New Roman"/>
                <w:i/>
                <w:iCs/>
                <w:sz w:val="23"/>
                <w:szCs w:val="23"/>
              </w:rPr>
              <w:t xml:space="preserve">defensa de España en diversos litigios </w:t>
            </w:r>
            <w:r w:rsidRPr="00F75F73">
              <w:rPr>
                <w:rFonts w:ascii="Times New Roman" w:hAnsi="Times New Roman" w:cs="Times New Roman"/>
                <w:sz w:val="23"/>
                <w:szCs w:val="23"/>
              </w:rPr>
              <w:t xml:space="preserve">ante el Tribunal de Justicia de las Comunidades Europeas,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-el </w:t>
            </w:r>
            <w:r w:rsidRPr="00F75F73">
              <w:rPr>
                <w:rFonts w:ascii="Times New Roman" w:hAnsi="Times New Roman" w:cs="Times New Roman"/>
                <w:i/>
                <w:iCs/>
                <w:sz w:val="23"/>
                <w:szCs w:val="23"/>
              </w:rPr>
              <w:t xml:space="preserve">status </w:t>
            </w:r>
            <w:r w:rsidRPr="00F75F73">
              <w:rPr>
                <w:rFonts w:ascii="Times New Roman" w:hAnsi="Times New Roman" w:cs="Times New Roman"/>
                <w:sz w:val="23"/>
                <w:szCs w:val="23"/>
              </w:rPr>
              <w:t xml:space="preserve">de </w:t>
            </w:r>
            <w:r w:rsidRPr="00F75F73">
              <w:rPr>
                <w:rFonts w:ascii="Times New Roman" w:hAnsi="Times New Roman" w:cs="Times New Roman"/>
                <w:i/>
                <w:iCs/>
                <w:sz w:val="23"/>
                <w:szCs w:val="23"/>
              </w:rPr>
              <w:t xml:space="preserve">Dinamarca </w:t>
            </w:r>
            <w:r w:rsidRPr="00F75F73">
              <w:rPr>
                <w:rFonts w:ascii="Times New Roman" w:hAnsi="Times New Roman" w:cs="Times New Roman"/>
                <w:sz w:val="23"/>
                <w:szCs w:val="23"/>
              </w:rPr>
              <w:t xml:space="preserve">en la Unión Europea, sobre las consecuencias de un segundo referéndum negativo en Dinamarca,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-problemas jurídico-institucionales suscitados por la </w:t>
            </w:r>
            <w:r w:rsidRPr="00F75F73">
              <w:rPr>
                <w:rFonts w:ascii="Times New Roman" w:hAnsi="Times New Roman" w:cs="Times New Roman"/>
                <w:i/>
                <w:iCs/>
                <w:sz w:val="23"/>
                <w:szCs w:val="23"/>
              </w:rPr>
              <w:t xml:space="preserve">ampliación </w:t>
            </w:r>
            <w:r w:rsidRPr="00F75F73">
              <w:rPr>
                <w:rFonts w:ascii="Times New Roman" w:hAnsi="Times New Roman" w:cs="Times New Roman"/>
                <w:sz w:val="23"/>
                <w:szCs w:val="23"/>
              </w:rPr>
              <w:t xml:space="preserve">a Austria, Noruega, Finlandia y Suecia,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-participación de </w:t>
            </w:r>
            <w:r w:rsidRPr="00F75F73">
              <w:rPr>
                <w:rFonts w:ascii="Times New Roman" w:hAnsi="Times New Roman" w:cs="Times New Roman"/>
                <w:i/>
                <w:iCs/>
                <w:sz w:val="23"/>
                <w:szCs w:val="23"/>
              </w:rPr>
              <w:t xml:space="preserve">municipios </w:t>
            </w:r>
            <w:r w:rsidRPr="00F75F73">
              <w:rPr>
                <w:rFonts w:ascii="Times New Roman" w:hAnsi="Times New Roman" w:cs="Times New Roman"/>
                <w:sz w:val="23"/>
                <w:szCs w:val="23"/>
              </w:rPr>
              <w:t xml:space="preserve">y </w:t>
            </w:r>
            <w:r w:rsidRPr="00F75F73">
              <w:rPr>
                <w:rFonts w:ascii="Times New Roman" w:hAnsi="Times New Roman" w:cs="Times New Roman"/>
                <w:i/>
                <w:iCs/>
                <w:sz w:val="23"/>
                <w:szCs w:val="23"/>
              </w:rPr>
              <w:t xml:space="preserve">regiones </w:t>
            </w:r>
            <w:r w:rsidRPr="00F75F73">
              <w:rPr>
                <w:rFonts w:ascii="Times New Roman" w:hAnsi="Times New Roman" w:cs="Times New Roman"/>
                <w:sz w:val="23"/>
                <w:szCs w:val="23"/>
              </w:rPr>
              <w:t xml:space="preserve">en el </w:t>
            </w:r>
            <w:r w:rsidRPr="00F75F73">
              <w:rPr>
                <w:rFonts w:ascii="Times New Roman" w:hAnsi="Times New Roman" w:cs="Times New Roman"/>
                <w:i/>
                <w:iCs/>
                <w:sz w:val="23"/>
                <w:szCs w:val="23"/>
              </w:rPr>
              <w:t xml:space="preserve">Comité </w:t>
            </w:r>
            <w:r w:rsidRPr="00F75F73">
              <w:rPr>
                <w:rFonts w:ascii="Times New Roman" w:hAnsi="Times New Roman" w:cs="Times New Roman"/>
                <w:sz w:val="23"/>
                <w:szCs w:val="23"/>
              </w:rPr>
              <w:t xml:space="preserve">de las </w:t>
            </w:r>
            <w:r w:rsidRPr="00F75F73">
              <w:rPr>
                <w:rFonts w:ascii="Times New Roman" w:hAnsi="Times New Roman" w:cs="Times New Roman"/>
                <w:i/>
                <w:iCs/>
                <w:sz w:val="23"/>
                <w:szCs w:val="23"/>
              </w:rPr>
              <w:t>Regiones</w:t>
            </w:r>
            <w:r w:rsidRPr="00F75F73">
              <w:rPr>
                <w:rFonts w:ascii="Times New Roman" w:hAnsi="Times New Roman" w:cs="Times New Roman"/>
                <w:sz w:val="23"/>
                <w:szCs w:val="23"/>
              </w:rPr>
              <w:t xml:space="preserve">,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-problemas de </w:t>
            </w:r>
            <w:r w:rsidRPr="00F75F73">
              <w:rPr>
                <w:rFonts w:ascii="Times New Roman" w:hAnsi="Times New Roman" w:cs="Times New Roman"/>
                <w:i/>
                <w:iCs/>
                <w:sz w:val="23"/>
                <w:szCs w:val="23"/>
              </w:rPr>
              <w:t xml:space="preserve">mayoría cualificada </w:t>
            </w:r>
            <w:r w:rsidRPr="00F75F73">
              <w:rPr>
                <w:rFonts w:ascii="Times New Roman" w:hAnsi="Times New Roman" w:cs="Times New Roman"/>
                <w:sz w:val="23"/>
                <w:szCs w:val="23"/>
              </w:rPr>
              <w:t xml:space="preserve">en la UE,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-relaciones </w:t>
            </w:r>
            <w:r w:rsidRPr="00F75F73">
              <w:rPr>
                <w:rFonts w:ascii="Times New Roman" w:hAnsi="Times New Roman" w:cs="Times New Roman"/>
                <w:i/>
                <w:iCs/>
                <w:sz w:val="23"/>
                <w:szCs w:val="23"/>
              </w:rPr>
              <w:t>Mercosur</w:t>
            </w:r>
            <w:r w:rsidRPr="00F75F73">
              <w:rPr>
                <w:rFonts w:ascii="Times New Roman" w:hAnsi="Times New Roman" w:cs="Times New Roman"/>
                <w:sz w:val="23"/>
                <w:szCs w:val="23"/>
              </w:rPr>
              <w:t xml:space="preserve">- </w:t>
            </w:r>
            <w:r w:rsidRPr="00F75F73">
              <w:rPr>
                <w:rFonts w:ascii="Times New Roman" w:hAnsi="Times New Roman" w:cs="Times New Roman"/>
                <w:i/>
                <w:iCs/>
                <w:sz w:val="23"/>
                <w:szCs w:val="23"/>
              </w:rPr>
              <w:t>Unión Europea</w:t>
            </w:r>
            <w:r w:rsidRPr="00F75F73">
              <w:rPr>
                <w:rFonts w:ascii="Times New Roman" w:hAnsi="Times New Roman" w:cs="Times New Roman"/>
                <w:sz w:val="23"/>
                <w:szCs w:val="23"/>
              </w:rPr>
              <w:t xml:space="preserve">,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w:t>
            </w:r>
            <w:r w:rsidRPr="00F75F73">
              <w:rPr>
                <w:rFonts w:ascii="Times New Roman" w:hAnsi="Times New Roman" w:cs="Times New Roman"/>
                <w:i/>
                <w:iCs/>
                <w:sz w:val="23"/>
                <w:szCs w:val="23"/>
              </w:rPr>
              <w:t xml:space="preserve">presencia directa </w:t>
            </w:r>
            <w:r w:rsidRPr="00F75F73">
              <w:rPr>
                <w:rFonts w:ascii="Times New Roman" w:hAnsi="Times New Roman" w:cs="Times New Roman"/>
                <w:sz w:val="23"/>
                <w:szCs w:val="23"/>
              </w:rPr>
              <w:t xml:space="preserve">de las </w:t>
            </w:r>
            <w:r w:rsidRPr="00F75F73">
              <w:rPr>
                <w:rFonts w:ascii="Times New Roman" w:hAnsi="Times New Roman" w:cs="Times New Roman"/>
                <w:i/>
                <w:iCs/>
                <w:sz w:val="23"/>
                <w:szCs w:val="23"/>
              </w:rPr>
              <w:t xml:space="preserve">regiones </w:t>
            </w:r>
            <w:r w:rsidRPr="00F75F73">
              <w:rPr>
                <w:rFonts w:ascii="Times New Roman" w:hAnsi="Times New Roman" w:cs="Times New Roman"/>
                <w:sz w:val="23"/>
                <w:szCs w:val="23"/>
              </w:rPr>
              <w:t xml:space="preserve">en los órganos de la UE,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w:t>
            </w:r>
            <w:r w:rsidRPr="00F75F73">
              <w:rPr>
                <w:rFonts w:ascii="Times New Roman" w:hAnsi="Times New Roman" w:cs="Times New Roman"/>
                <w:i/>
                <w:iCs/>
                <w:sz w:val="23"/>
                <w:szCs w:val="23"/>
              </w:rPr>
              <w:t>propiedad intelectual</w:t>
            </w:r>
            <w:r w:rsidRPr="00F75F73">
              <w:rPr>
                <w:rFonts w:ascii="Times New Roman" w:hAnsi="Times New Roman" w:cs="Times New Roman"/>
                <w:sz w:val="23"/>
                <w:szCs w:val="23"/>
              </w:rPr>
              <w:t xml:space="preserve">, reenvío prejudicial de procesos en curso ante tribunales españoles,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w:t>
            </w:r>
            <w:r w:rsidRPr="00F75F73">
              <w:rPr>
                <w:rFonts w:ascii="Times New Roman" w:hAnsi="Times New Roman" w:cs="Times New Roman"/>
                <w:i/>
                <w:iCs/>
                <w:sz w:val="23"/>
                <w:szCs w:val="23"/>
              </w:rPr>
              <w:t xml:space="preserve">inmunidad penal </w:t>
            </w:r>
            <w:r w:rsidRPr="00F75F73">
              <w:rPr>
                <w:rFonts w:ascii="Times New Roman" w:hAnsi="Times New Roman" w:cs="Times New Roman"/>
                <w:sz w:val="23"/>
                <w:szCs w:val="23"/>
              </w:rPr>
              <w:t xml:space="preserve">de presidentes de gobiernos extranjeros ante Tribunales españoles,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-la </w:t>
            </w:r>
            <w:r w:rsidRPr="00F75F73">
              <w:rPr>
                <w:rFonts w:ascii="Times New Roman" w:hAnsi="Times New Roman" w:cs="Times New Roman"/>
                <w:i/>
                <w:iCs/>
                <w:sz w:val="23"/>
                <w:szCs w:val="23"/>
              </w:rPr>
              <w:t xml:space="preserve">reforma </w:t>
            </w:r>
            <w:r w:rsidRPr="00F75F73">
              <w:rPr>
                <w:rFonts w:ascii="Times New Roman" w:hAnsi="Times New Roman" w:cs="Times New Roman"/>
                <w:sz w:val="23"/>
                <w:szCs w:val="23"/>
              </w:rPr>
              <w:t xml:space="preserve">del art. </w:t>
            </w:r>
            <w:r w:rsidRPr="00F75F73">
              <w:rPr>
                <w:rFonts w:ascii="Times New Roman" w:hAnsi="Times New Roman" w:cs="Times New Roman"/>
                <w:i/>
                <w:iCs/>
                <w:sz w:val="23"/>
                <w:szCs w:val="23"/>
              </w:rPr>
              <w:t xml:space="preserve">93 </w:t>
            </w:r>
            <w:r w:rsidRPr="00F75F73">
              <w:rPr>
                <w:rFonts w:ascii="Times New Roman" w:hAnsi="Times New Roman" w:cs="Times New Roman"/>
                <w:sz w:val="23"/>
                <w:szCs w:val="23"/>
              </w:rPr>
              <w:t xml:space="preserve">de la </w:t>
            </w:r>
            <w:r w:rsidRPr="00F75F73">
              <w:rPr>
                <w:rFonts w:ascii="Times New Roman" w:hAnsi="Times New Roman" w:cs="Times New Roman"/>
                <w:i/>
                <w:iCs/>
                <w:sz w:val="23"/>
                <w:szCs w:val="23"/>
              </w:rPr>
              <w:t xml:space="preserve">Constitución </w:t>
            </w:r>
            <w:r w:rsidRPr="00F75F73">
              <w:rPr>
                <w:rFonts w:ascii="Times New Roman" w:hAnsi="Times New Roman" w:cs="Times New Roman"/>
                <w:sz w:val="23"/>
                <w:szCs w:val="23"/>
              </w:rPr>
              <w:t xml:space="preserve">española,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-compatibilidad entre Tratados internacionales en </w:t>
            </w:r>
            <w:r w:rsidRPr="00F75F73">
              <w:rPr>
                <w:rFonts w:ascii="Times New Roman" w:hAnsi="Times New Roman" w:cs="Times New Roman"/>
                <w:i/>
                <w:iCs/>
                <w:sz w:val="23"/>
                <w:szCs w:val="23"/>
              </w:rPr>
              <w:t xml:space="preserve">materia </w:t>
            </w:r>
            <w:r w:rsidRPr="00F75F73">
              <w:rPr>
                <w:rFonts w:ascii="Times New Roman" w:hAnsi="Times New Roman" w:cs="Times New Roman"/>
                <w:sz w:val="23"/>
                <w:szCs w:val="23"/>
              </w:rPr>
              <w:t xml:space="preserve">de </w:t>
            </w:r>
            <w:r w:rsidRPr="00F75F73">
              <w:rPr>
                <w:rFonts w:ascii="Times New Roman" w:hAnsi="Times New Roman" w:cs="Times New Roman"/>
                <w:i/>
                <w:iCs/>
                <w:sz w:val="23"/>
                <w:szCs w:val="23"/>
              </w:rPr>
              <w:t>patentes</w:t>
            </w:r>
            <w:r w:rsidRPr="00F75F73">
              <w:rPr>
                <w:rFonts w:ascii="Times New Roman" w:hAnsi="Times New Roman" w:cs="Times New Roman"/>
                <w:sz w:val="23"/>
                <w:szCs w:val="23"/>
              </w:rPr>
              <w:t xml:space="preserve">,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-compatibilidad de la declaración unilateral de independencia de Kosovo con el Derecho Internacional, (formando parte del equipo jurídico como consejera de España que sostuvo la intervención de España sobre Kosovo ante la Corte Internacional de Justicia),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 directiva de </w:t>
            </w:r>
            <w:r w:rsidRPr="00F75F73">
              <w:rPr>
                <w:rFonts w:ascii="Times New Roman" w:hAnsi="Times New Roman" w:cs="Times New Roman"/>
                <w:i/>
                <w:iCs/>
                <w:sz w:val="23"/>
                <w:szCs w:val="23"/>
              </w:rPr>
              <w:t xml:space="preserve">liberalización </w:t>
            </w:r>
            <w:r w:rsidRPr="00F75F73">
              <w:rPr>
                <w:rFonts w:ascii="Times New Roman" w:hAnsi="Times New Roman" w:cs="Times New Roman"/>
                <w:sz w:val="23"/>
                <w:szCs w:val="23"/>
              </w:rPr>
              <w:t xml:space="preserve">de </w:t>
            </w:r>
            <w:r w:rsidRPr="00F75F73">
              <w:rPr>
                <w:rFonts w:ascii="Times New Roman" w:hAnsi="Times New Roman" w:cs="Times New Roman"/>
                <w:i/>
                <w:iCs/>
                <w:sz w:val="23"/>
                <w:szCs w:val="23"/>
              </w:rPr>
              <w:t>servicios públicos</w:t>
            </w:r>
            <w:r w:rsidRPr="00F75F73">
              <w:rPr>
                <w:rFonts w:ascii="Times New Roman" w:hAnsi="Times New Roman" w:cs="Times New Roman"/>
                <w:sz w:val="23"/>
                <w:szCs w:val="23"/>
              </w:rPr>
              <w:t xml:space="preserve">,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 </w:t>
            </w:r>
            <w:r w:rsidRPr="00F75F73">
              <w:rPr>
                <w:rFonts w:ascii="Times New Roman" w:hAnsi="Times New Roman" w:cs="Times New Roman"/>
                <w:i/>
                <w:iCs/>
                <w:sz w:val="23"/>
                <w:szCs w:val="23"/>
              </w:rPr>
              <w:t xml:space="preserve">nombramiento </w:t>
            </w:r>
            <w:r w:rsidRPr="00F75F73">
              <w:rPr>
                <w:rFonts w:ascii="Times New Roman" w:hAnsi="Times New Roman" w:cs="Times New Roman"/>
                <w:sz w:val="23"/>
                <w:szCs w:val="23"/>
              </w:rPr>
              <w:t xml:space="preserve">del </w:t>
            </w:r>
            <w:r w:rsidRPr="00F75F73">
              <w:rPr>
                <w:rFonts w:ascii="Times New Roman" w:hAnsi="Times New Roman" w:cs="Times New Roman"/>
                <w:i/>
                <w:iCs/>
                <w:sz w:val="23"/>
                <w:szCs w:val="23"/>
              </w:rPr>
              <w:t xml:space="preserve">Presidente </w:t>
            </w:r>
            <w:r w:rsidRPr="00F75F73">
              <w:rPr>
                <w:rFonts w:ascii="Times New Roman" w:hAnsi="Times New Roman" w:cs="Times New Roman"/>
                <w:sz w:val="23"/>
                <w:szCs w:val="23"/>
              </w:rPr>
              <w:t xml:space="preserve">de la Comisión europea, </w:t>
            </w:r>
          </w:p>
          <w:p w:rsidR="00397227" w:rsidRPr="00F75F73" w:rsidRDefault="00397227" w:rsidP="000D7FE7">
            <w:pPr>
              <w:autoSpaceDE w:val="0"/>
              <w:autoSpaceDN w:val="0"/>
              <w:adjustRightInd w:val="0"/>
              <w:rPr>
                <w:rFonts w:ascii="Times New Roman" w:hAnsi="Times New Roman" w:cs="Times New Roman"/>
                <w:sz w:val="23"/>
                <w:szCs w:val="23"/>
              </w:rPr>
            </w:pPr>
            <w:r w:rsidRPr="00F75F73">
              <w:rPr>
                <w:rFonts w:ascii="Times New Roman" w:hAnsi="Times New Roman" w:cs="Times New Roman"/>
                <w:sz w:val="23"/>
                <w:szCs w:val="23"/>
              </w:rPr>
              <w:t xml:space="preserve">- diversas cuestiones relativas a </w:t>
            </w:r>
            <w:r w:rsidRPr="00F75F73">
              <w:rPr>
                <w:rFonts w:ascii="Times New Roman" w:hAnsi="Times New Roman" w:cs="Times New Roman"/>
                <w:i/>
                <w:iCs/>
                <w:sz w:val="23"/>
                <w:szCs w:val="23"/>
              </w:rPr>
              <w:t>Gibraltar</w:t>
            </w:r>
            <w:r w:rsidRPr="00F75F73">
              <w:rPr>
                <w:rFonts w:ascii="Times New Roman" w:hAnsi="Times New Roman" w:cs="Times New Roman"/>
                <w:sz w:val="23"/>
                <w:szCs w:val="23"/>
              </w:rPr>
              <w:t xml:space="preserve">, </w:t>
            </w:r>
          </w:p>
          <w:p w:rsidR="00397227" w:rsidRPr="00F75F73" w:rsidRDefault="00397227" w:rsidP="000D7FE7">
            <w:r w:rsidRPr="00F75F73">
              <w:rPr>
                <w:sz w:val="23"/>
                <w:szCs w:val="23"/>
              </w:rPr>
              <w:t xml:space="preserve">- aplicación del </w:t>
            </w:r>
            <w:r w:rsidRPr="00F75F73">
              <w:rPr>
                <w:i/>
                <w:iCs/>
                <w:sz w:val="23"/>
                <w:szCs w:val="23"/>
              </w:rPr>
              <w:t xml:space="preserve">convenio </w:t>
            </w:r>
            <w:r w:rsidRPr="00F75F73">
              <w:rPr>
                <w:sz w:val="23"/>
                <w:szCs w:val="23"/>
              </w:rPr>
              <w:t xml:space="preserve">de </w:t>
            </w:r>
            <w:r w:rsidRPr="00F75F73">
              <w:rPr>
                <w:i/>
                <w:iCs/>
                <w:sz w:val="23"/>
                <w:szCs w:val="23"/>
              </w:rPr>
              <w:t xml:space="preserve">prohibición </w:t>
            </w:r>
            <w:r w:rsidRPr="00F75F73">
              <w:rPr>
                <w:sz w:val="23"/>
                <w:szCs w:val="23"/>
              </w:rPr>
              <w:t xml:space="preserve">de </w:t>
            </w:r>
            <w:r w:rsidRPr="00F75F73">
              <w:rPr>
                <w:i/>
                <w:iCs/>
                <w:sz w:val="23"/>
                <w:szCs w:val="23"/>
              </w:rPr>
              <w:t>municiones en racimo</w:t>
            </w:r>
            <w:r w:rsidRPr="00F75F73">
              <w:rPr>
                <w:sz w:val="23"/>
                <w:szCs w:val="23"/>
              </w:rPr>
              <w:t>, etc.</w:t>
            </w:r>
          </w:p>
        </w:tc>
      </w:tr>
    </w:tbl>
    <w:p w:rsidR="00D0274E" w:rsidRDefault="00D0274E"/>
    <w:sectPr w:rsidR="00D0274E" w:rsidSect="00D0274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F3" w:rsidRDefault="008272F3" w:rsidP="00E10AC6">
      <w:pPr>
        <w:spacing w:after="0" w:line="240" w:lineRule="auto"/>
      </w:pPr>
      <w:r>
        <w:separator/>
      </w:r>
    </w:p>
  </w:endnote>
  <w:endnote w:type="continuationSeparator" w:id="0">
    <w:p w:rsidR="008272F3" w:rsidRDefault="008272F3" w:rsidP="00E1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6" w:rsidRDefault="00E10AC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6" w:rsidRDefault="00E10AC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6" w:rsidRDefault="00E10A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F3" w:rsidRDefault="008272F3" w:rsidP="00E10AC6">
      <w:pPr>
        <w:spacing w:after="0" w:line="240" w:lineRule="auto"/>
      </w:pPr>
      <w:r>
        <w:separator/>
      </w:r>
    </w:p>
  </w:footnote>
  <w:footnote w:type="continuationSeparator" w:id="0">
    <w:p w:rsidR="008272F3" w:rsidRDefault="008272F3" w:rsidP="00E10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6" w:rsidRDefault="00E10A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6" w:rsidRDefault="00E10AC6">
    <w:pPr>
      <w:pStyle w:val="Encabezado"/>
    </w:pPr>
    <w:r w:rsidRPr="00E10AC6">
      <w:drawing>
        <wp:inline distT="0" distB="0" distL="0" distR="0">
          <wp:extent cx="1880302" cy="484039"/>
          <wp:effectExtent l="19050" t="0" r="5648" b="0"/>
          <wp:docPr id="3" name="Imagen 3" descr="C:\Users\lzuloaga\AppData\Local\Temp\Rar$DIa0.853\Marca UCM Alternativa logo negro.png"/>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880302" cy="484039"/>
                  </a:xfrm>
                  <a:prstGeom prst="rect">
                    <a:avLst/>
                  </a:prstGeom>
                  <a:noFill/>
                  <a:ln>
                    <a:noFill/>
                  </a:ln>
                </pic:spPr>
              </pic:pic>
            </a:graphicData>
          </a:graphic>
        </wp:inline>
      </w:drawing>
    </w:r>
  </w:p>
  <w:p w:rsidR="00E10AC6" w:rsidRDefault="00E10AC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6" w:rsidRDefault="00E10AC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footnotePr>
    <w:footnote w:id="-1"/>
    <w:footnote w:id="0"/>
  </w:footnotePr>
  <w:endnotePr>
    <w:endnote w:id="-1"/>
    <w:endnote w:id="0"/>
  </w:endnotePr>
  <w:compat/>
  <w:rsids>
    <w:rsidRoot w:val="00397227"/>
    <w:rsid w:val="00397227"/>
    <w:rsid w:val="00705B76"/>
    <w:rsid w:val="008272F3"/>
    <w:rsid w:val="00D0274E"/>
    <w:rsid w:val="00E10A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2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10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10AC6"/>
  </w:style>
  <w:style w:type="paragraph" w:styleId="Piedepgina">
    <w:name w:val="footer"/>
    <w:basedOn w:val="Normal"/>
    <w:link w:val="PiedepginaCar"/>
    <w:uiPriority w:val="99"/>
    <w:semiHidden/>
    <w:unhideWhenUsed/>
    <w:rsid w:val="00E10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10AC6"/>
  </w:style>
  <w:style w:type="paragraph" w:styleId="Textodeglobo">
    <w:name w:val="Balloon Text"/>
    <w:basedOn w:val="Normal"/>
    <w:link w:val="TextodegloboCar"/>
    <w:uiPriority w:val="99"/>
    <w:semiHidden/>
    <w:unhideWhenUsed/>
    <w:rsid w:val="00E10A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acelimangasmarti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3027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2</cp:revision>
  <dcterms:created xsi:type="dcterms:W3CDTF">2019-06-27T08:11:00Z</dcterms:created>
  <dcterms:modified xsi:type="dcterms:W3CDTF">2019-06-27T08:44:00Z</dcterms:modified>
</cp:coreProperties>
</file>